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B3298" w:rsidP="00EB3298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6D6ECD">
              <w:rPr>
                <w:rFonts w:asciiTheme="minorHAnsi" w:eastAsia="Calibri" w:hAnsiTheme="minorHAnsi" w:cstheme="minorHAnsi"/>
                <w:b/>
                <w:sz w:val="22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l</w:t>
            </w:r>
            <w:r w:rsidR="006D6ECD">
              <w:rPr>
                <w:rFonts w:asciiTheme="minorHAnsi" w:eastAsia="Calibri" w:hAnsiTheme="minorHAnsi" w:cstheme="minorHAnsi"/>
                <w:b/>
                <w:sz w:val="22"/>
              </w:rPr>
              <w:t>io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43621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43621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243621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243621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43621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243621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43621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243621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243621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43621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43621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43621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43621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43621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43621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EB3298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43621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B3298" w:rsidP="005F4FEA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B3298" w:rsidP="005F4FEA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B3298" w:rsidP="005F4FEA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B3298" w:rsidP="005F4FEA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EB3298" w:rsidP="005F4FEA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43621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43621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1"/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bookmarkEnd w:id="0"/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243621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43621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B3298" w:rsidP="004A528F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43621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43621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B3298" w:rsidP="004A528F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43621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43621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B3298" w:rsidP="004A528F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43621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43621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43621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243621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B3298" w:rsidP="007E1AD8"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B329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243621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243621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B329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Julio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43621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21" w:rsidRDefault="00243621">
      <w:pPr>
        <w:spacing w:after="0" w:line="240" w:lineRule="auto"/>
      </w:pPr>
      <w:r>
        <w:separator/>
      </w:r>
    </w:p>
  </w:endnote>
  <w:endnote w:type="continuationSeparator" w:id="0">
    <w:p w:rsidR="00243621" w:rsidRDefault="002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21" w:rsidRDefault="00243621">
      <w:pPr>
        <w:spacing w:after="0" w:line="240" w:lineRule="auto"/>
      </w:pPr>
      <w:r>
        <w:separator/>
      </w:r>
    </w:p>
  </w:footnote>
  <w:footnote w:type="continuationSeparator" w:id="0">
    <w:p w:rsidR="00243621" w:rsidRDefault="0024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43621"/>
    <w:rsid w:val="00273EF9"/>
    <w:rsid w:val="00276A22"/>
    <w:rsid w:val="002B04BA"/>
    <w:rsid w:val="002E0892"/>
    <w:rsid w:val="00343AB5"/>
    <w:rsid w:val="003640C8"/>
    <w:rsid w:val="003A3104"/>
    <w:rsid w:val="003C3549"/>
    <w:rsid w:val="00415535"/>
    <w:rsid w:val="00433C2B"/>
    <w:rsid w:val="00470CAC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89CF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9356</Words>
  <Characters>51461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12</cp:revision>
  <dcterms:created xsi:type="dcterms:W3CDTF">2021-12-28T14:03:00Z</dcterms:created>
  <dcterms:modified xsi:type="dcterms:W3CDTF">2022-08-19T16:18:00Z</dcterms:modified>
</cp:coreProperties>
</file>