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0D25E2" w:rsidP="0069137F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69137F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4E477E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69137F">
              <w:rPr>
                <w:rFonts w:asciiTheme="minorHAnsi" w:eastAsia="Calibri" w:hAnsiTheme="minorHAnsi" w:cstheme="minorHAnsi"/>
                <w:b/>
                <w:sz w:val="22"/>
              </w:rPr>
              <w:t xml:space="preserve">octubre </w:t>
            </w:r>
            <w:r w:rsidR="004F4FBB">
              <w:rPr>
                <w:rFonts w:asciiTheme="minorHAnsi" w:eastAsia="Calibri" w:hAnsiTheme="minorHAnsi" w:cstheme="minorHAnsi"/>
                <w:b/>
                <w:sz w:val="22"/>
              </w:rPr>
              <w:t>del 2021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</w:t>
              </w:r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c</w:t>
              </w:r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1C1A4B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69137F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9137F" w:rsidP="005F4FEA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9137F" w:rsidP="005F4FEA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9137F" w:rsidP="005F4FEA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9137F" w:rsidP="005F4FEA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913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69137F" w:rsidP="005F4FEA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913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9137F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9137F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9137F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9137F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7E1AD8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42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3">
              <w:r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4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5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http://transparencia.senpa.mil.do/index.php/proyectos-y-programas/descripcion-de-los-proyectos-y-programas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6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7">
              <w:r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8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9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http://transparencia.senpa.mil.do/index.php/proyectos-y-programas/informes-de-seguimientos-a-los-programas-y-proyectos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0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1">
              <w:r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2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http://transparencia.senpa.mil.do/index.php/proyectos-y-programas/calendario-de-ejecucion-a-los-programas-y-proyectos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4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5">
              <w:r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7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http://transparencia.senpa.mil.do/index.php/proyectos-y-programas/informes-de-presupuestos-sobre-programas-y-proyectos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8" w:history="1">
              <w:r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9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0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1">
              <w:r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2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3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4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5">
              <w:r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7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9">
              <w:r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70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9137F" w:rsidP="007E1AD8"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913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913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913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913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913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AD8" w:rsidRPr="00412E19" w:rsidRDefault="007E1AD8" w:rsidP="007E1AD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C80881" w:rsidRDefault="007E1AD8" w:rsidP="007E1AD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C80881" w:rsidRDefault="007E1AD8" w:rsidP="007E1AD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bookmarkStart w:id="0" w:name="_GoBack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D61A5" w:rsidRDefault="00BD61A5" w:rsidP="007E1AD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r w:rsidRPr="00BD61A5">
              <w:rPr>
                <w:rFonts w:asciiTheme="minorHAnsi" w:hAnsiTheme="minorHAnsi" w:cstheme="minorHAnsi"/>
                <w:sz w:val="22"/>
              </w:rPr>
              <w:fldChar w:fldCharType="begin"/>
            </w:r>
            <w:r w:rsidRPr="00BD61A5">
              <w:rPr>
                <w:rFonts w:asciiTheme="minorHAnsi" w:hAnsiTheme="minorHAnsi" w:cstheme="minorHAnsi"/>
                <w:sz w:val="22"/>
              </w:rPr>
              <w:instrText xml:space="preserve"> HYPERLINK "http://transparencia.senpa.mil.do/index.php/comision-de-etica-publica-cep/category/398-comision-de-etica-publica-cep?download=524:compromiso-etico-firmado-por-la-mae-senpa" </w:instrText>
            </w:r>
            <w:r w:rsidRPr="00BD61A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D61A5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http://transparencia.senpa.mil.do/index.php/comision-de-etica-publica-cep/category/398-comision-de-etica-publica-cep?download=524:compromiso-etico-firmado-por-la-mae-senpa</w:t>
            </w:r>
            <w:r w:rsidRPr="00BD61A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bookmarkEnd w:id="0"/>
          <w:p w:rsidR="00BD61A5" w:rsidRDefault="00BD61A5" w:rsidP="007E1AD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E1AD8" w:rsidP="007E1AD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913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913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1A" w:rsidRDefault="0088611A">
      <w:pPr>
        <w:spacing w:after="0" w:line="240" w:lineRule="auto"/>
      </w:pPr>
      <w:r>
        <w:separator/>
      </w:r>
    </w:p>
  </w:endnote>
  <w:endnote w:type="continuationSeparator" w:id="0">
    <w:p w:rsidR="0088611A" w:rsidRDefault="0088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1A" w:rsidRDefault="0088611A">
      <w:pPr>
        <w:spacing w:after="0" w:line="240" w:lineRule="auto"/>
      </w:pPr>
      <w:r>
        <w:separator/>
      </w:r>
    </w:p>
  </w:footnote>
  <w:footnote w:type="continuationSeparator" w:id="0">
    <w:p w:rsidR="0088611A" w:rsidRDefault="0088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273EF9"/>
    <w:rsid w:val="00343AB5"/>
    <w:rsid w:val="003640C8"/>
    <w:rsid w:val="003A3104"/>
    <w:rsid w:val="003C3549"/>
    <w:rsid w:val="00415535"/>
    <w:rsid w:val="00433C2B"/>
    <w:rsid w:val="004E477E"/>
    <w:rsid w:val="004F4FBB"/>
    <w:rsid w:val="00501118"/>
    <w:rsid w:val="005F4FEA"/>
    <w:rsid w:val="00622C20"/>
    <w:rsid w:val="0069137F"/>
    <w:rsid w:val="006D0C28"/>
    <w:rsid w:val="006E09CD"/>
    <w:rsid w:val="007277E8"/>
    <w:rsid w:val="00766513"/>
    <w:rsid w:val="00784AB7"/>
    <w:rsid w:val="007E1AD8"/>
    <w:rsid w:val="00810D36"/>
    <w:rsid w:val="008167F8"/>
    <w:rsid w:val="0082636B"/>
    <w:rsid w:val="00866D0B"/>
    <w:rsid w:val="0088611A"/>
    <w:rsid w:val="008B1126"/>
    <w:rsid w:val="008C166F"/>
    <w:rsid w:val="008D161A"/>
    <w:rsid w:val="00911BD3"/>
    <w:rsid w:val="00A24FE3"/>
    <w:rsid w:val="00A37270"/>
    <w:rsid w:val="00A6133B"/>
    <w:rsid w:val="00AA5231"/>
    <w:rsid w:val="00B12DCB"/>
    <w:rsid w:val="00B63F59"/>
    <w:rsid w:val="00BD61A5"/>
    <w:rsid w:val="00BE35EC"/>
    <w:rsid w:val="00C14260"/>
    <w:rsid w:val="00C3781C"/>
    <w:rsid w:val="00C633B7"/>
    <w:rsid w:val="00D02825"/>
    <w:rsid w:val="00D30D8B"/>
    <w:rsid w:val="00D84141"/>
    <w:rsid w:val="00ED3F58"/>
    <w:rsid w:val="00F40FA6"/>
    <w:rsid w:val="00F64BF5"/>
    <w:rsid w:val="00FA3982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BE4B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digeig.gob.do/web/es/transparencia/proyectos-y-programas/informes-de-seguimiento-a-los-programas-y-proyectos/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balance-general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digeig.gob.do/web/es/transparencia/finanzas/relacion-de-inventario-en-almacen/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transparencia.senpa.mil.do/index.php/proyectos-y-programas/informes-de-seguimientos-a-los-programas-y-proyectos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transparencia.senpa.mil.do/index.php/finanzas/ingresos-y-egresos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finanzas/inventario-en-almacen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datos-abier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digeig.gob.do/web/es/transparencia/finanzas/informes-de-auditorias/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digeig.gob.do/web/es/transparencia/proyectos-y-programas/calendarios-de-ejecucion-de-programas-y-proyectos/" TargetMode="External"/><Relationship Id="rId273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transparencia.senpa.mil.do/index.php/finanzas/informes-de-auditorias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transparencia.senpa.mil.do/index.php/proyectos-y-programas/calendario-de-ejecucion-a-los-programas-y-proyectos" TargetMode="External"/><Relationship Id="rId274" Type="http://schemas.openxmlformats.org/officeDocument/2006/relationships/hyperlink" Target="http://transparencia.senpa.mil.do/index.php/comision-de-etica-publica-cep/category/400-plan-de-trabajo-senpa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digeig.gob.do/web/es/transparencia/proyectos-y-programas/descripcion-de-los-programas-y-proyectos/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402-avance-del-plan-de-trabajo-del-comite-de-etic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transparencia.senpa.mil.do/index.php/proyectos-y-programas/descripcion-de-los-proyectos-y-programas" TargetMode="External"/><Relationship Id="rId266" Type="http://schemas.openxmlformats.org/officeDocument/2006/relationships/hyperlink" Target="http://digeig.gob.do/web/es/transparencia/finanzas/relacion-de-activos-fijos-de-la-institucion/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digeig.gob.do/web/es/transparencia/proyectos-y-programas/informes-de-presupuesto-sobre-programas-y-proyectos/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transparencia.senpa.mil.do/index.php/finanzas/activos-fijos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proyectos-y-programas/informes-de-presupuestos-sobre-programas-y-proyect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estados-financier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9453</Words>
  <Characters>51992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3</cp:revision>
  <dcterms:created xsi:type="dcterms:W3CDTF">2021-12-28T14:04:00Z</dcterms:created>
  <dcterms:modified xsi:type="dcterms:W3CDTF">2021-12-28T14:45:00Z</dcterms:modified>
</cp:coreProperties>
</file>